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299" w:rsidRDefault="00A21AF0">
      <w:pPr>
        <w:spacing w:before="100" w:beforeAutospacing="1" w:after="100" w:afterAutospacing="1" w:line="240" w:lineRule="auto"/>
        <w:jc w:val="center"/>
        <w:rPr>
          <w:rFonts w:eastAsia="Times New Roman" w:cs="Times New Roman"/>
          <w:b/>
          <w:bCs/>
          <w:sz w:val="24"/>
          <w:szCs w:val="24"/>
        </w:rPr>
      </w:pPr>
      <w:r>
        <w:rPr>
          <w:rFonts w:eastAsia="Times New Roman" w:cs="Times New Roman"/>
          <w:b/>
          <w:bCs/>
          <w:sz w:val="24"/>
          <w:szCs w:val="24"/>
        </w:rPr>
        <w:t>10 lucruri importante pentru concertul Kings of Leon</w:t>
      </w:r>
    </w:p>
    <w:p w:rsidR="00315299" w:rsidRDefault="00A21AF0">
      <w:pPr>
        <w:spacing w:before="100" w:beforeAutospacing="1" w:after="100" w:afterAutospacing="1" w:line="240" w:lineRule="auto"/>
        <w:rPr>
          <w:rFonts w:eastAsia="Times New Roman" w:cs="Times New Roman"/>
          <w:bCs/>
          <w:sz w:val="24"/>
          <w:szCs w:val="24"/>
          <w:lang w:val="ro-RO"/>
        </w:rPr>
      </w:pPr>
      <w:r>
        <w:rPr>
          <w:rFonts w:eastAsia="Times New Roman" w:cs="Times New Roman"/>
          <w:bCs/>
          <w:sz w:val="24"/>
          <w:szCs w:val="24"/>
          <w:lang w:val="ro-RO"/>
        </w:rPr>
        <w:t>Mâine va avea loc primul concert susținut de Kings of Leon în România. Sâmbătă, pe 17 iunie, b</w:t>
      </w:r>
      <w:r>
        <w:rPr>
          <w:rFonts w:eastAsia="Times New Roman" w:cs="Times New Roman"/>
          <w:bCs/>
          <w:sz w:val="24"/>
          <w:szCs w:val="24"/>
        </w:rPr>
        <w:t>aie</w:t>
      </w:r>
      <w:r>
        <w:rPr>
          <w:rFonts w:eastAsia="Times New Roman" w:cs="Times New Roman"/>
          <w:bCs/>
          <w:sz w:val="24"/>
          <w:szCs w:val="24"/>
          <w:lang w:val="ro-RO"/>
        </w:rPr>
        <w:t xml:space="preserve">ții vor cânta la București în cadrul turneului Walls, piese de pe noul album, dar și hiturile care i-au făcut celebri în întreaga lume. </w:t>
      </w:r>
    </w:p>
    <w:p w:rsidR="00315299" w:rsidRDefault="00A21AF0">
      <w:pPr>
        <w:spacing w:before="100" w:beforeAutospacing="1" w:after="100" w:afterAutospacing="1" w:line="240" w:lineRule="auto"/>
        <w:rPr>
          <w:rFonts w:eastAsia="Times New Roman" w:cs="Times New Roman"/>
          <w:b/>
          <w:bCs/>
          <w:sz w:val="24"/>
          <w:szCs w:val="24"/>
          <w:lang w:val="ro-RO"/>
        </w:rPr>
      </w:pPr>
      <w:r>
        <w:rPr>
          <w:rFonts w:eastAsia="Times New Roman" w:cs="Times New Roman"/>
          <w:b/>
          <w:bCs/>
          <w:sz w:val="24"/>
          <w:szCs w:val="24"/>
          <w:lang w:val="ro-RO"/>
        </w:rPr>
        <w:t>În cazul în care vei merge la concert, aici este tot ce trebuie să știi:</w:t>
      </w:r>
    </w:p>
    <w:p w:rsidR="00315299" w:rsidRDefault="00A21AF0">
      <w:pPr>
        <w:pStyle w:val="ListParagraph1"/>
        <w:numPr>
          <w:ilvl w:val="0"/>
          <w:numId w:val="1"/>
        </w:numPr>
        <w:spacing w:before="100" w:beforeAutospacing="1" w:after="100" w:afterAutospacing="1" w:line="240" w:lineRule="auto"/>
        <w:rPr>
          <w:rFonts w:eastAsia="Times New Roman" w:cs="Times New Roman"/>
          <w:b/>
          <w:bCs/>
          <w:sz w:val="24"/>
          <w:szCs w:val="24"/>
          <w:lang w:val="ro-RO"/>
        </w:rPr>
      </w:pPr>
      <w:r>
        <w:rPr>
          <w:rFonts w:eastAsia="Times New Roman" w:cs="Times New Roman"/>
          <w:b/>
          <w:bCs/>
          <w:sz w:val="24"/>
          <w:szCs w:val="24"/>
          <w:lang w:val="ro-RO"/>
        </w:rPr>
        <w:t>Porțile stadionului se deschid de la ora 17:</w:t>
      </w:r>
      <w:r w:rsidR="009E194E">
        <w:rPr>
          <w:rFonts w:eastAsia="Times New Roman" w:cs="Times New Roman"/>
          <w:b/>
          <w:bCs/>
          <w:sz w:val="24"/>
          <w:szCs w:val="24"/>
          <w:lang w:val="ro-RO"/>
        </w:rPr>
        <w:t>3</w:t>
      </w:r>
      <w:r>
        <w:rPr>
          <w:rFonts w:eastAsia="Times New Roman" w:cs="Times New Roman"/>
          <w:b/>
          <w:bCs/>
          <w:sz w:val="24"/>
          <w:szCs w:val="24"/>
          <w:lang w:val="ro-RO"/>
        </w:rPr>
        <w:t>0</w:t>
      </w:r>
      <w:r>
        <w:rPr>
          <w:rFonts w:eastAsia="Times New Roman" w:cs="Times New Roman"/>
          <w:b/>
          <w:bCs/>
          <w:sz w:val="24"/>
          <w:szCs w:val="24"/>
          <w:lang w:val="ro-RO"/>
        </w:rPr>
        <w:t>.</w:t>
      </w:r>
    </w:p>
    <w:p w:rsidR="00315299" w:rsidRDefault="00A21AF0">
      <w:pPr>
        <w:pStyle w:val="ListParagraph1"/>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Datorită controalelor de securitate sporite, organizatorii recomandă publicului să ajungă la stadion cât mai devreme posibil. </w:t>
      </w:r>
    </w:p>
    <w:p w:rsidR="00315299" w:rsidRDefault="00A21AF0">
      <w:pPr>
        <w:pStyle w:val="ListParagraph1"/>
        <w:numPr>
          <w:ilvl w:val="0"/>
          <w:numId w:val="1"/>
        </w:numPr>
        <w:spacing w:before="100" w:beforeAutospacing="1" w:after="100" w:afterAutospacing="1" w:line="240" w:lineRule="auto"/>
        <w:rPr>
          <w:rFonts w:eastAsia="Times New Roman" w:cs="Times New Roman"/>
          <w:b/>
          <w:bCs/>
          <w:sz w:val="24"/>
          <w:szCs w:val="24"/>
        </w:rPr>
      </w:pPr>
      <w:r>
        <w:rPr>
          <w:rFonts w:eastAsia="Times New Roman" w:cs="Times New Roman"/>
          <w:b/>
          <w:bCs/>
          <w:sz w:val="24"/>
          <w:szCs w:val="24"/>
        </w:rPr>
        <w:t>Obiecte interzise</w:t>
      </w:r>
    </w:p>
    <w:p w:rsidR="00315299" w:rsidRDefault="00A21AF0">
      <w:pPr>
        <w:spacing w:before="100" w:beforeAutospacing="1" w:after="100" w:afterAutospacing="1"/>
        <w:rPr>
          <w:sz w:val="24"/>
          <w:szCs w:val="24"/>
        </w:rPr>
      </w:pPr>
      <w:r>
        <w:rPr>
          <w:sz w:val="24"/>
          <w:szCs w:val="24"/>
        </w:rPr>
        <w:t>Accesul cu pungi, rucsac</w:t>
      </w:r>
      <w:r>
        <w:rPr>
          <w:sz w:val="24"/>
          <w:szCs w:val="24"/>
        </w:rPr>
        <w:t>uri</w:t>
      </w:r>
      <w:r>
        <w:rPr>
          <w:sz w:val="24"/>
          <w:szCs w:val="24"/>
        </w:rPr>
        <w:t>, ghiozdane, genți, camere foto, camere video, tablete, umbrele este strict interz</w:t>
      </w:r>
      <w:r>
        <w:rPr>
          <w:sz w:val="24"/>
          <w:szCs w:val="24"/>
        </w:rPr>
        <w:t>is. </w:t>
      </w:r>
      <w:hyperlink r:id="rId6" w:history="1">
        <w:r>
          <w:rPr>
            <w:rStyle w:val="Hyperlink"/>
            <w:sz w:val="24"/>
            <w:szCs w:val="24"/>
          </w:rPr>
          <w:t>Vă rugăm să verificati aici lista obiectelor interzise la acces.</w:t>
        </w:r>
      </w:hyperlink>
      <w:r>
        <w:rPr>
          <w:sz w:val="24"/>
          <w:szCs w:val="24"/>
        </w:rPr>
        <w:t xml:space="preserve"> </w:t>
      </w:r>
    </w:p>
    <w:p w:rsidR="00315299" w:rsidRDefault="00A21AF0">
      <w:pPr>
        <w:spacing w:before="100" w:beforeAutospacing="1" w:after="100" w:afterAutospacing="1"/>
        <w:rPr>
          <w:rFonts w:eastAsia="Times New Roman" w:cs="Times New Roman"/>
          <w:bCs/>
          <w:sz w:val="24"/>
          <w:szCs w:val="24"/>
        </w:rPr>
      </w:pPr>
      <w:r>
        <w:rPr>
          <w:rFonts w:eastAsia="Times New Roman" w:cs="Times New Roman"/>
          <w:bCs/>
          <w:sz w:val="24"/>
          <w:szCs w:val="24"/>
        </w:rPr>
        <w:t>Toți participanții vor fi percheziționați la intrare. În cazul refuzului, nu le va fi permis accesul la eveniment.</w:t>
      </w:r>
    </w:p>
    <w:p w:rsidR="00315299" w:rsidRDefault="00A21AF0">
      <w:pPr>
        <w:pStyle w:val="ListParagraph1"/>
        <w:numPr>
          <w:ilvl w:val="0"/>
          <w:numId w:val="1"/>
        </w:numPr>
        <w:spacing w:before="100" w:beforeAutospacing="1" w:after="100" w:afterAutospacing="1" w:line="240" w:lineRule="auto"/>
        <w:rPr>
          <w:rFonts w:eastAsia="Times New Roman" w:cs="Times New Roman"/>
          <w:b/>
          <w:sz w:val="24"/>
          <w:szCs w:val="24"/>
        </w:rPr>
      </w:pPr>
      <w:r>
        <w:rPr>
          <w:rFonts w:eastAsia="Times New Roman" w:cs="Times New Roman"/>
          <w:b/>
          <w:sz w:val="24"/>
          <w:szCs w:val="24"/>
        </w:rPr>
        <w:t xml:space="preserve">Punctele de </w:t>
      </w:r>
      <w:r>
        <w:rPr>
          <w:rFonts w:eastAsia="Times New Roman" w:cs="Times New Roman"/>
          <w:b/>
          <w:sz w:val="24"/>
          <w:szCs w:val="24"/>
        </w:rPr>
        <w:t>acces pe Arena Națională</w:t>
      </w:r>
    </w:p>
    <w:p w:rsidR="00315299" w:rsidRDefault="00A21AF0">
      <w:pPr>
        <w:pStyle w:val="ListParagraph1"/>
        <w:spacing w:before="100" w:beforeAutospacing="1" w:after="100" w:afterAutospacing="1" w:line="240" w:lineRule="auto"/>
        <w:rPr>
          <w:rFonts w:eastAsia="Times New Roman" w:cs="Times New Roman"/>
          <w:sz w:val="24"/>
          <w:szCs w:val="24"/>
        </w:rPr>
      </w:pPr>
      <w:r>
        <w:rPr>
          <w:rFonts w:eastAsia="Times New Roman" w:cs="Times New Roman"/>
          <w:sz w:val="24"/>
          <w:szCs w:val="24"/>
        </w:rPr>
        <w:t>Accesul se va face conform informațiilor de pe harta alăturată, în funcție de poziționarea locurilor în stadion. Informațiile referitoare la zona în care sunt poziționate se regăsesc tiprite pe fiecare bilet în parte.</w:t>
      </w:r>
    </w:p>
    <w:p w:rsidR="00315299" w:rsidRDefault="00315299">
      <w:pPr>
        <w:pStyle w:val="ListParagraph1"/>
        <w:spacing w:before="100" w:beforeAutospacing="1" w:after="100" w:afterAutospacing="1" w:line="240" w:lineRule="auto"/>
        <w:rPr>
          <w:rFonts w:eastAsia="Times New Roman" w:cs="Times New Roman"/>
          <w:sz w:val="24"/>
          <w:szCs w:val="24"/>
        </w:rPr>
      </w:pPr>
    </w:p>
    <w:p w:rsidR="00315299" w:rsidRDefault="00A21AF0">
      <w:pPr>
        <w:spacing w:before="100" w:beforeAutospacing="1" w:after="100" w:afterAutospacing="1" w:line="240" w:lineRule="auto"/>
        <w:rPr>
          <w:rFonts w:eastAsia="Times New Roman" w:cs="Times New Roman"/>
          <w:sz w:val="24"/>
          <w:szCs w:val="24"/>
        </w:rPr>
      </w:pPr>
      <w:r>
        <w:rPr>
          <w:rFonts w:eastAsia="Times New Roman" w:cs="Times New Roman"/>
          <w:noProof/>
          <w:sz w:val="24"/>
          <w:szCs w:val="24"/>
          <w:lang w:val="en-GB" w:eastAsia="en-GB"/>
        </w:rPr>
        <w:lastRenderedPageBreak/>
        <w:drawing>
          <wp:inline distT="0" distB="0" distL="0" distR="0">
            <wp:extent cx="5943600" cy="4236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4236085"/>
                    </a:xfrm>
                    <a:prstGeom prst="rect">
                      <a:avLst/>
                    </a:prstGeom>
                  </pic:spPr>
                </pic:pic>
              </a:graphicData>
            </a:graphic>
          </wp:inline>
        </w:drawing>
      </w:r>
    </w:p>
    <w:p w:rsidR="00315299" w:rsidRDefault="00A21AF0">
      <w:pPr>
        <w:pStyle w:val="ListParagraph1"/>
        <w:spacing w:before="100" w:beforeAutospacing="1" w:after="100" w:afterAutospacing="1"/>
        <w:ind w:left="360"/>
        <w:rPr>
          <w:rFonts w:eastAsia="Times New Roman" w:cs="Times New Roman"/>
          <w:bCs/>
          <w:sz w:val="24"/>
          <w:szCs w:val="24"/>
        </w:rPr>
      </w:pPr>
      <w:r>
        <w:rPr>
          <w:rFonts w:eastAsia="Times New Roman" w:cs="Times New Roman"/>
          <w:bCs/>
          <w:sz w:val="24"/>
          <w:szCs w:val="24"/>
        </w:rPr>
        <w:t>Accesul pe</w:t>
      </w:r>
      <w:r>
        <w:rPr>
          <w:rFonts w:eastAsia="Times New Roman" w:cs="Times New Roman"/>
          <w:bCs/>
          <w:sz w:val="24"/>
          <w:szCs w:val="24"/>
        </w:rPr>
        <w:t xml:space="preserve"> stadion va fi permis pe baza biletului valid unei singure persoane, o singură dată. Biletul în baza căruia va fi făcut accesul va trebui păstrat pe toată durata concertului. Spectatorii sunt rugați să aibă asupra lor  un act de identitate valid.</w:t>
      </w:r>
    </w:p>
    <w:p w:rsidR="00315299" w:rsidRDefault="00315299">
      <w:pPr>
        <w:pStyle w:val="ListParagraph1"/>
        <w:spacing w:before="100" w:beforeAutospacing="1" w:after="100" w:afterAutospacing="1" w:line="240" w:lineRule="auto"/>
        <w:ind w:left="360"/>
        <w:rPr>
          <w:rFonts w:eastAsia="Times New Roman" w:cs="Times New Roman"/>
          <w:bCs/>
          <w:sz w:val="24"/>
          <w:szCs w:val="24"/>
        </w:rPr>
      </w:pPr>
    </w:p>
    <w:p w:rsidR="00315299" w:rsidRDefault="00A21AF0">
      <w:pPr>
        <w:pStyle w:val="ListParagraph1"/>
        <w:spacing w:before="100" w:beforeAutospacing="1" w:after="100" w:afterAutospacing="1" w:line="240" w:lineRule="auto"/>
        <w:ind w:left="360"/>
        <w:rPr>
          <w:rFonts w:eastAsia="Times New Roman" w:cs="Times New Roman"/>
          <w:bCs/>
          <w:sz w:val="24"/>
          <w:szCs w:val="24"/>
        </w:rPr>
      </w:pPr>
      <w:r>
        <w:rPr>
          <w:rFonts w:eastAsia="Times New Roman" w:cs="Times New Roman"/>
          <w:bCs/>
          <w:sz w:val="24"/>
          <w:szCs w:val="24"/>
        </w:rPr>
        <w:t xml:space="preserve">Accesul </w:t>
      </w:r>
      <w:r>
        <w:rPr>
          <w:rFonts w:eastAsia="Times New Roman" w:cs="Times New Roman"/>
          <w:bCs/>
          <w:sz w:val="24"/>
          <w:szCs w:val="24"/>
        </w:rPr>
        <w:t>copiilor cu v</w:t>
      </w:r>
      <w:bookmarkStart w:id="0" w:name="_GoBack"/>
      <w:bookmarkEnd w:id="0"/>
      <w:r>
        <w:rPr>
          <w:rFonts w:eastAsia="Times New Roman" w:cs="Times New Roman"/>
          <w:bCs/>
          <w:sz w:val="24"/>
          <w:szCs w:val="24"/>
        </w:rPr>
        <w:t>ârsta sub 7 ani este strict interzis. Accesul persoanelor cu vârsta cuprinsă între 7-14 ani se va face numai pe baza unui bilet valid și numai în compania unui adult. Un adult poate însoți un singur minor cu vârsta de până la 14 ani. Accesul p</w:t>
      </w:r>
      <w:r>
        <w:rPr>
          <w:rFonts w:eastAsia="Times New Roman" w:cs="Times New Roman"/>
          <w:bCs/>
          <w:sz w:val="24"/>
          <w:szCs w:val="24"/>
        </w:rPr>
        <w:t>ersoanelor cu vârsta cuprinsă între 14-18 ani se va face numai pe baza unui bilet valid și a unui act de identitate.</w:t>
      </w:r>
    </w:p>
    <w:p w:rsidR="00315299" w:rsidRDefault="00A21AF0">
      <w:pPr>
        <w:pStyle w:val="ListParagraph1"/>
        <w:numPr>
          <w:ilvl w:val="0"/>
          <w:numId w:val="1"/>
        </w:numPr>
        <w:spacing w:before="100" w:beforeAutospacing="1" w:after="100" w:afterAutospacing="1" w:line="240" w:lineRule="auto"/>
        <w:rPr>
          <w:rFonts w:eastAsia="Times New Roman" w:cs="Times New Roman"/>
          <w:b/>
          <w:bCs/>
          <w:sz w:val="24"/>
          <w:szCs w:val="24"/>
        </w:rPr>
      </w:pPr>
      <w:r>
        <w:rPr>
          <w:rFonts w:eastAsia="Times New Roman" w:cs="Times New Roman"/>
          <w:b/>
          <w:bCs/>
          <w:sz w:val="24"/>
          <w:szCs w:val="24"/>
        </w:rPr>
        <w:t>Plouă? Nici o problemă!</w:t>
      </w:r>
    </w:p>
    <w:p w:rsidR="00315299" w:rsidRDefault="00A21AF0">
      <w:pPr>
        <w:pStyle w:val="ListParagraph1"/>
        <w:spacing w:before="100" w:beforeAutospacing="1" w:after="100" w:afterAutospacing="1" w:line="240" w:lineRule="auto"/>
        <w:rPr>
          <w:rFonts w:eastAsia="Times New Roman" w:cs="Times New Roman"/>
          <w:bCs/>
          <w:sz w:val="24"/>
          <w:szCs w:val="24"/>
        </w:rPr>
      </w:pPr>
      <w:r>
        <w:rPr>
          <w:rFonts w:eastAsia="Times New Roman" w:cs="Times New Roman"/>
          <w:bCs/>
          <w:sz w:val="24"/>
          <w:szCs w:val="24"/>
        </w:rPr>
        <w:t xml:space="preserve">Acoperişul Arenei Naţionale este deja tras. </w:t>
      </w:r>
    </w:p>
    <w:p w:rsidR="00315299" w:rsidRDefault="00A21AF0">
      <w:pPr>
        <w:pStyle w:val="ListParagraph1"/>
        <w:numPr>
          <w:ilvl w:val="0"/>
          <w:numId w:val="1"/>
        </w:numPr>
        <w:spacing w:before="100" w:beforeAutospacing="1" w:after="100" w:afterAutospacing="1" w:line="240" w:lineRule="auto"/>
        <w:rPr>
          <w:rFonts w:eastAsia="Times New Roman" w:cs="Times New Roman"/>
          <w:b/>
          <w:bCs/>
          <w:sz w:val="24"/>
          <w:szCs w:val="24"/>
          <w:lang w:val="ro-RO"/>
        </w:rPr>
      </w:pPr>
      <w:r>
        <w:rPr>
          <w:rFonts w:eastAsia="Times New Roman" w:cs="Times New Roman"/>
          <w:b/>
          <w:bCs/>
          <w:sz w:val="24"/>
          <w:szCs w:val="24"/>
          <w:lang w:val="ro-RO"/>
        </w:rPr>
        <w:t xml:space="preserve">Program  </w:t>
      </w:r>
    </w:p>
    <w:p w:rsidR="00315299" w:rsidRDefault="00A21AF0">
      <w:pPr>
        <w:spacing w:before="100" w:beforeAutospacing="1" w:after="100" w:afterAutospacing="1" w:line="240" w:lineRule="auto"/>
        <w:ind w:left="360"/>
        <w:rPr>
          <w:rFonts w:eastAsia="Times New Roman" w:cs="Times New Roman"/>
          <w:bCs/>
          <w:sz w:val="24"/>
          <w:szCs w:val="24"/>
          <w:lang w:val="ro-RO"/>
        </w:rPr>
      </w:pPr>
      <w:r>
        <w:rPr>
          <w:rFonts w:eastAsia="Times New Roman" w:cs="Times New Roman"/>
          <w:bCs/>
          <w:sz w:val="24"/>
          <w:szCs w:val="24"/>
          <w:lang w:val="ro-RO"/>
        </w:rPr>
        <w:t>17:3</w:t>
      </w:r>
      <w:r>
        <w:rPr>
          <w:rFonts w:eastAsia="Times New Roman" w:cs="Times New Roman"/>
          <w:bCs/>
          <w:sz w:val="24"/>
          <w:szCs w:val="24"/>
          <w:lang w:val="ro-RO"/>
        </w:rPr>
        <w:t>0 DJ J The Funky Bear</w:t>
      </w:r>
    </w:p>
    <w:p w:rsidR="00315299" w:rsidRDefault="00A21AF0">
      <w:pPr>
        <w:spacing w:before="100" w:beforeAutospacing="1" w:after="100" w:afterAutospacing="1" w:line="240" w:lineRule="auto"/>
        <w:ind w:left="360"/>
        <w:rPr>
          <w:rFonts w:eastAsia="Times New Roman" w:cs="Times New Roman"/>
          <w:bCs/>
          <w:sz w:val="24"/>
          <w:szCs w:val="24"/>
          <w:lang w:val="ro-RO"/>
        </w:rPr>
      </w:pPr>
      <w:r>
        <w:rPr>
          <w:rFonts w:eastAsia="Times New Roman" w:cs="Times New Roman"/>
          <w:bCs/>
          <w:sz w:val="24"/>
          <w:szCs w:val="24"/>
          <w:lang w:val="ro-RO"/>
        </w:rPr>
        <w:t xml:space="preserve">18:00 Golan </w:t>
      </w:r>
    </w:p>
    <w:p w:rsidR="00315299" w:rsidRDefault="00A21AF0">
      <w:pPr>
        <w:spacing w:before="100" w:beforeAutospacing="1" w:after="100" w:afterAutospacing="1" w:line="240" w:lineRule="auto"/>
        <w:ind w:left="360"/>
        <w:rPr>
          <w:rFonts w:eastAsia="Times New Roman" w:cs="Times New Roman"/>
          <w:bCs/>
          <w:sz w:val="24"/>
          <w:szCs w:val="24"/>
          <w:lang w:val="ro-RO"/>
        </w:rPr>
      </w:pPr>
      <w:r>
        <w:rPr>
          <w:rFonts w:eastAsia="Times New Roman" w:cs="Times New Roman"/>
          <w:bCs/>
          <w:sz w:val="24"/>
          <w:szCs w:val="24"/>
          <w:lang w:val="ro-RO"/>
        </w:rPr>
        <w:t xml:space="preserve">19:30 LP </w:t>
      </w:r>
    </w:p>
    <w:p w:rsidR="00315299" w:rsidRDefault="00A21AF0">
      <w:pPr>
        <w:spacing w:before="100" w:beforeAutospacing="1" w:after="100" w:afterAutospacing="1" w:line="240" w:lineRule="auto"/>
        <w:ind w:left="360"/>
        <w:rPr>
          <w:rFonts w:eastAsia="Times New Roman" w:cs="Times New Roman"/>
          <w:bCs/>
          <w:sz w:val="24"/>
          <w:szCs w:val="24"/>
          <w:lang w:val="ro-RO"/>
        </w:rPr>
      </w:pPr>
      <w:r>
        <w:rPr>
          <w:rFonts w:eastAsia="Times New Roman" w:cs="Times New Roman"/>
          <w:bCs/>
          <w:sz w:val="24"/>
          <w:szCs w:val="24"/>
          <w:lang w:val="ro-RO"/>
        </w:rPr>
        <w:t>21:15 Kings</w:t>
      </w:r>
      <w:r>
        <w:rPr>
          <w:rFonts w:eastAsia="Times New Roman" w:cs="Times New Roman"/>
          <w:bCs/>
          <w:sz w:val="24"/>
          <w:szCs w:val="24"/>
          <w:lang w:val="ro-RO"/>
        </w:rPr>
        <w:t xml:space="preserve"> of Leon</w:t>
      </w:r>
    </w:p>
    <w:p w:rsidR="00315299" w:rsidRDefault="00A21AF0">
      <w:pPr>
        <w:pStyle w:val="ListParagraph1"/>
        <w:numPr>
          <w:ilvl w:val="0"/>
          <w:numId w:val="1"/>
        </w:numPr>
        <w:spacing w:before="100" w:beforeAutospacing="1" w:after="100" w:afterAutospacing="1" w:line="240" w:lineRule="auto"/>
        <w:rPr>
          <w:rFonts w:eastAsia="Times New Roman" w:cs="Times New Roman"/>
          <w:b/>
          <w:bCs/>
          <w:sz w:val="24"/>
          <w:szCs w:val="24"/>
          <w:lang w:val="ro-RO"/>
        </w:rPr>
      </w:pPr>
      <w:r>
        <w:rPr>
          <w:rFonts w:eastAsia="Times New Roman" w:cs="Times New Roman"/>
          <w:b/>
          <w:bCs/>
          <w:sz w:val="24"/>
          <w:szCs w:val="24"/>
          <w:lang w:val="ro-RO"/>
        </w:rPr>
        <w:lastRenderedPageBreak/>
        <w:t>Programul casieriilor de la Arena Națională</w:t>
      </w:r>
    </w:p>
    <w:p w:rsidR="00315299" w:rsidRDefault="00315299">
      <w:pPr>
        <w:pStyle w:val="ListParagraph1"/>
        <w:spacing w:before="100" w:beforeAutospacing="1" w:after="100" w:afterAutospacing="1" w:line="240" w:lineRule="auto"/>
        <w:ind w:left="644"/>
        <w:rPr>
          <w:rFonts w:eastAsia="Times New Roman" w:cs="Times New Roman"/>
          <w:b/>
          <w:bCs/>
          <w:sz w:val="24"/>
          <w:szCs w:val="24"/>
          <w:lang w:val="ro-RO"/>
        </w:rPr>
      </w:pPr>
    </w:p>
    <w:p w:rsidR="00315299" w:rsidRDefault="00A21AF0">
      <w:pPr>
        <w:pStyle w:val="ListParagraph1"/>
        <w:spacing w:before="100" w:beforeAutospacing="1" w:after="100" w:afterAutospacing="1" w:line="240" w:lineRule="auto"/>
        <w:ind w:left="426"/>
        <w:rPr>
          <w:rFonts w:eastAsia="Times New Roman" w:cs="Times New Roman"/>
          <w:bCs/>
          <w:sz w:val="24"/>
          <w:szCs w:val="24"/>
          <w:lang w:val="ro-RO"/>
        </w:rPr>
      </w:pPr>
      <w:r>
        <w:rPr>
          <w:rFonts w:eastAsia="Times New Roman" w:cs="Times New Roman"/>
          <w:bCs/>
          <w:sz w:val="24"/>
          <w:szCs w:val="24"/>
          <w:lang w:val="ro-RO"/>
        </w:rPr>
        <w:t xml:space="preserve">Casieriile Bilete.ro vor fi deschise, sâmbătă, 17 iunie, începând cu ora 12:00 la intrările din strada Maior Ion Coravu, Bulevardul Basarabia și strada Pierre de Coubertin. </w:t>
      </w:r>
    </w:p>
    <w:p w:rsidR="00315299" w:rsidRDefault="00A21AF0">
      <w:pPr>
        <w:spacing w:before="100" w:beforeAutospacing="1" w:after="100" w:afterAutospacing="1" w:line="240" w:lineRule="auto"/>
        <w:ind w:left="360"/>
        <w:rPr>
          <w:rFonts w:eastAsia="Times New Roman" w:cs="Times New Roman"/>
          <w:b/>
          <w:bCs/>
          <w:sz w:val="24"/>
          <w:szCs w:val="24"/>
          <w:lang w:val="ro-RO"/>
        </w:rPr>
      </w:pPr>
      <w:r>
        <w:rPr>
          <w:rFonts w:eastAsia="Times New Roman" w:cs="Times New Roman"/>
          <w:sz w:val="24"/>
          <w:szCs w:val="24"/>
        </w:rPr>
        <w:t xml:space="preserve">Puteți suna în ziua </w:t>
      </w:r>
      <w:r>
        <w:rPr>
          <w:rFonts w:eastAsia="Times New Roman" w:cs="Times New Roman"/>
          <w:sz w:val="24"/>
          <w:szCs w:val="24"/>
        </w:rPr>
        <w:t>evenimentului la INFO BILETE: 0723 277 192</w:t>
      </w:r>
    </w:p>
    <w:p w:rsidR="00315299" w:rsidRDefault="00A21AF0">
      <w:pPr>
        <w:pStyle w:val="ListParagraph1"/>
        <w:numPr>
          <w:ilvl w:val="0"/>
          <w:numId w:val="1"/>
        </w:numPr>
        <w:rPr>
          <w:sz w:val="24"/>
          <w:szCs w:val="24"/>
        </w:rPr>
      </w:pPr>
      <w:r>
        <w:rPr>
          <w:b/>
          <w:bCs/>
          <w:sz w:val="24"/>
          <w:szCs w:val="24"/>
        </w:rPr>
        <w:t>Transport </w:t>
      </w:r>
    </w:p>
    <w:p w:rsidR="00315299" w:rsidRDefault="00A21AF0">
      <w:pPr>
        <w:spacing w:before="100" w:beforeAutospacing="1" w:after="100" w:afterAutospacing="1" w:line="240" w:lineRule="auto"/>
        <w:ind w:left="360"/>
        <w:rPr>
          <w:sz w:val="24"/>
          <w:szCs w:val="24"/>
        </w:rPr>
      </w:pPr>
      <w:r>
        <w:rPr>
          <w:sz w:val="24"/>
          <w:szCs w:val="24"/>
        </w:rPr>
        <w:t>Stadionul Arena Națională este localizat in partea de Est a Bucureștiului, la aproximativ 4 kilometri de centrul orașului. Gara de Nord, principala gara a Capitalei, este la aproximativ 7 kilometri dist</w:t>
      </w:r>
      <w:r>
        <w:rPr>
          <w:sz w:val="24"/>
          <w:szCs w:val="24"/>
        </w:rPr>
        <w:t xml:space="preserve">ață de Arena Națională. </w:t>
      </w:r>
    </w:p>
    <w:p w:rsidR="00315299" w:rsidRDefault="00A21AF0">
      <w:pPr>
        <w:spacing w:before="100" w:beforeAutospacing="1" w:after="100" w:afterAutospacing="1" w:line="240" w:lineRule="auto"/>
        <w:rPr>
          <w:rFonts w:eastAsia="Times New Roman" w:cs="Times New Roman"/>
          <w:bCs/>
          <w:sz w:val="24"/>
          <w:szCs w:val="24"/>
        </w:rPr>
      </w:pPr>
      <w:r>
        <w:rPr>
          <w:sz w:val="24"/>
          <w:szCs w:val="24"/>
        </w:rPr>
        <w:t xml:space="preserve">Deoarece va fi o mare afluență de spectatori, organizatorii recomandă publicului utilizarea mijloacelor de transport în comun, având în vedere că </w:t>
      </w:r>
      <w:r>
        <w:rPr>
          <w:b/>
          <w:sz w:val="24"/>
          <w:szCs w:val="24"/>
        </w:rPr>
        <w:t>NU există locuri de parcare</w:t>
      </w:r>
      <w:r>
        <w:rPr>
          <w:sz w:val="24"/>
          <w:szCs w:val="24"/>
        </w:rPr>
        <w:t xml:space="preserve">. </w:t>
      </w:r>
      <w:hyperlink r:id="rId8" w:history="1">
        <w:r>
          <w:rPr>
            <w:rStyle w:val="Hyperlink"/>
            <w:sz w:val="24"/>
            <w:szCs w:val="24"/>
          </w:rPr>
          <w:t>Vezi t</w:t>
        </w:r>
        <w:r>
          <w:rPr>
            <w:rStyle w:val="Hyperlink"/>
            <w:sz w:val="24"/>
            <w:szCs w:val="24"/>
          </w:rPr>
          <w:t>oate mijloacele de transport aici.</w:t>
        </w:r>
      </w:hyperlink>
    </w:p>
    <w:p w:rsidR="00315299" w:rsidRDefault="00A21AF0">
      <w:pPr>
        <w:pStyle w:val="ListParagraph1"/>
        <w:numPr>
          <w:ilvl w:val="0"/>
          <w:numId w:val="1"/>
        </w:numPr>
        <w:spacing w:before="100" w:beforeAutospacing="1" w:after="100" w:afterAutospacing="1" w:line="240" w:lineRule="auto"/>
        <w:rPr>
          <w:rFonts w:eastAsia="Times New Roman" w:cs="Times New Roman"/>
          <w:b/>
          <w:bCs/>
          <w:sz w:val="24"/>
          <w:szCs w:val="24"/>
          <w:lang w:val="ro-RO"/>
        </w:rPr>
      </w:pPr>
      <w:r>
        <w:rPr>
          <w:rFonts w:eastAsia="Times New Roman" w:cs="Times New Roman"/>
          <w:b/>
          <w:bCs/>
          <w:sz w:val="24"/>
          <w:szCs w:val="24"/>
          <w:lang w:val="ro-RO"/>
        </w:rPr>
        <w:t xml:space="preserve">Traficul din zona stadionului va fi restricţionat </w:t>
      </w:r>
    </w:p>
    <w:p w:rsidR="00315299" w:rsidRDefault="00A21AF0">
      <w:pPr>
        <w:spacing w:before="100" w:beforeAutospacing="1" w:after="100" w:afterAutospacing="1" w:line="240" w:lineRule="auto"/>
        <w:ind w:left="360"/>
        <w:rPr>
          <w:rFonts w:eastAsia="Times New Roman" w:cs="Times New Roman"/>
          <w:bCs/>
          <w:sz w:val="24"/>
          <w:szCs w:val="24"/>
          <w:lang w:val="ro-RO"/>
        </w:rPr>
      </w:pPr>
      <w:r>
        <w:rPr>
          <w:rFonts w:eastAsia="Times New Roman" w:cs="Times New Roman"/>
          <w:bCs/>
          <w:sz w:val="24"/>
          <w:szCs w:val="24"/>
          <w:lang w:val="ro-RO"/>
        </w:rPr>
        <w:t xml:space="preserve">În ziua concertului, traficul din zona stadionului va fi restricţionat în intervalul orar 16:00 – 23:00, atât pe strada Maior Ion Coravu, strada Tony Bulandra, cât şi </w:t>
      </w:r>
      <w:r>
        <w:rPr>
          <w:rFonts w:eastAsia="Times New Roman" w:cs="Times New Roman"/>
          <w:bCs/>
          <w:sz w:val="24"/>
          <w:szCs w:val="24"/>
          <w:lang w:val="ro-RO"/>
        </w:rPr>
        <w:t>pe străzile mai mici care leagă Vatra Luminoasă de strada Maior Ion Coravu. Aceste restricții nu se aplică în cazul riveranilor.</w:t>
      </w:r>
    </w:p>
    <w:p w:rsidR="00315299" w:rsidRDefault="00A21AF0">
      <w:pPr>
        <w:pStyle w:val="ListParagraph1"/>
        <w:numPr>
          <w:ilvl w:val="0"/>
          <w:numId w:val="1"/>
        </w:numPr>
        <w:spacing w:before="100" w:beforeAutospacing="1" w:after="100" w:afterAutospacing="1" w:line="240" w:lineRule="auto"/>
        <w:rPr>
          <w:rFonts w:eastAsia="Times New Roman" w:cs="Times New Roman"/>
          <w:b/>
          <w:bCs/>
          <w:sz w:val="24"/>
          <w:szCs w:val="24"/>
        </w:rPr>
      </w:pPr>
      <w:r>
        <w:rPr>
          <w:rFonts w:eastAsia="Times New Roman" w:cs="Times New Roman"/>
          <w:b/>
          <w:bCs/>
          <w:sz w:val="24"/>
          <w:szCs w:val="24"/>
        </w:rPr>
        <w:t>Kings of Leon Pop-up Store</w:t>
      </w:r>
    </w:p>
    <w:p w:rsidR="00315299" w:rsidRDefault="00A21AF0">
      <w:pPr>
        <w:pStyle w:val="ListParagraph1"/>
        <w:spacing w:before="100" w:beforeAutospacing="1" w:after="100" w:afterAutospacing="1" w:line="240" w:lineRule="auto"/>
        <w:rPr>
          <w:rFonts w:eastAsia="Times New Roman" w:cs="Times New Roman"/>
          <w:bCs/>
          <w:sz w:val="24"/>
          <w:szCs w:val="24"/>
        </w:rPr>
      </w:pPr>
      <w:r>
        <w:rPr>
          <w:rFonts w:eastAsia="Times New Roman" w:cs="Times New Roman"/>
          <w:bCs/>
          <w:sz w:val="24"/>
          <w:szCs w:val="24"/>
        </w:rPr>
        <w:t>Încă îți mai poți cumpara tricouri, cd-uri, vinyl-uri Kings of Leon și multe altele din Promenada Ma</w:t>
      </w:r>
      <w:r>
        <w:rPr>
          <w:rFonts w:eastAsia="Times New Roman" w:cs="Times New Roman"/>
          <w:bCs/>
          <w:sz w:val="24"/>
          <w:szCs w:val="24"/>
        </w:rPr>
        <w:t>ll Floreasca. Dacă nu ai drum pe acolo, îți poti cumpăra și de la concert! Kings of Leon ne aduc multe surprize.</w:t>
      </w:r>
    </w:p>
    <w:p w:rsidR="00315299" w:rsidRDefault="00315299">
      <w:pPr>
        <w:pStyle w:val="ListParagraph1"/>
        <w:spacing w:before="100" w:beforeAutospacing="1" w:after="100" w:afterAutospacing="1" w:line="240" w:lineRule="auto"/>
        <w:rPr>
          <w:rFonts w:eastAsia="Times New Roman" w:cs="Times New Roman"/>
          <w:bCs/>
          <w:sz w:val="24"/>
          <w:szCs w:val="24"/>
        </w:rPr>
      </w:pPr>
    </w:p>
    <w:p w:rsidR="00315299" w:rsidRDefault="00A21AF0">
      <w:pPr>
        <w:pStyle w:val="ListParagraph1"/>
        <w:numPr>
          <w:ilvl w:val="0"/>
          <w:numId w:val="1"/>
        </w:numPr>
        <w:spacing w:before="100" w:beforeAutospacing="1" w:after="100" w:afterAutospacing="1"/>
        <w:rPr>
          <w:b/>
          <w:sz w:val="24"/>
          <w:szCs w:val="24"/>
        </w:rPr>
      </w:pPr>
      <w:r>
        <w:rPr>
          <w:rFonts w:cs="Arial"/>
          <w:b/>
          <w:sz w:val="24"/>
          <w:szCs w:val="24"/>
        </w:rPr>
        <w:t>Cumparati bilete doar de la punctele autorizate:</w:t>
      </w:r>
    </w:p>
    <w:p w:rsidR="00315299" w:rsidRDefault="00A21AF0">
      <w:pPr>
        <w:pStyle w:val="ListParagraph1"/>
        <w:spacing w:before="100" w:beforeAutospacing="1" w:after="100" w:afterAutospacing="1"/>
        <w:rPr>
          <w:rFonts w:cs="Arial"/>
          <w:b/>
          <w:sz w:val="24"/>
          <w:szCs w:val="24"/>
        </w:rPr>
      </w:pPr>
      <w:r>
        <w:rPr>
          <w:b/>
          <w:noProof/>
          <w:sz w:val="24"/>
          <w:szCs w:val="24"/>
          <w:lang w:val="en-GB" w:eastAsia="en-GB"/>
        </w:rPr>
        <w:drawing>
          <wp:inline distT="0" distB="0" distL="0" distR="0">
            <wp:extent cx="6038850" cy="2019935"/>
            <wp:effectExtent l="38100" t="0" r="762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15299" w:rsidRDefault="00315299">
      <w:pPr>
        <w:pStyle w:val="ListParagraph1"/>
        <w:spacing w:before="100" w:beforeAutospacing="1" w:after="100" w:afterAutospacing="1"/>
        <w:rPr>
          <w:b/>
          <w:sz w:val="24"/>
          <w:szCs w:val="24"/>
        </w:rPr>
      </w:pPr>
    </w:p>
    <w:p w:rsidR="00315299" w:rsidRDefault="00A21AF0">
      <w:pPr>
        <w:spacing w:before="100" w:beforeAutospacing="1" w:after="100" w:afterAutospacing="1"/>
        <w:ind w:left="360"/>
        <w:rPr>
          <w:sz w:val="24"/>
          <w:szCs w:val="24"/>
        </w:rPr>
      </w:pPr>
      <w:r>
        <w:rPr>
          <w:sz w:val="24"/>
          <w:szCs w:val="24"/>
        </w:rPr>
        <w:t xml:space="preserve">În cazul biletelor în format electronic, vă rugăm să veniți la stadion cu varianta </w:t>
      </w:r>
      <w:r>
        <w:rPr>
          <w:sz w:val="24"/>
          <w:szCs w:val="24"/>
        </w:rPr>
        <w:t>printată.</w:t>
      </w:r>
    </w:p>
    <w:sectPr w:rsidR="0031529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B10268"/>
    <w:multiLevelType w:val="multilevel"/>
    <w:tmpl w:val="7BB10268"/>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F2B"/>
    <w:rsid w:val="001C1222"/>
    <w:rsid w:val="002402A6"/>
    <w:rsid w:val="00264C70"/>
    <w:rsid w:val="002E41FC"/>
    <w:rsid w:val="00315299"/>
    <w:rsid w:val="00346EE7"/>
    <w:rsid w:val="003770B0"/>
    <w:rsid w:val="0039207F"/>
    <w:rsid w:val="003A283B"/>
    <w:rsid w:val="003C5304"/>
    <w:rsid w:val="004013AE"/>
    <w:rsid w:val="00473296"/>
    <w:rsid w:val="00473DAB"/>
    <w:rsid w:val="004C2066"/>
    <w:rsid w:val="004D0F01"/>
    <w:rsid w:val="00503CAF"/>
    <w:rsid w:val="00532250"/>
    <w:rsid w:val="00550D73"/>
    <w:rsid w:val="0060373C"/>
    <w:rsid w:val="00614B68"/>
    <w:rsid w:val="00630522"/>
    <w:rsid w:val="00635586"/>
    <w:rsid w:val="006F25B3"/>
    <w:rsid w:val="0081086B"/>
    <w:rsid w:val="008A78B6"/>
    <w:rsid w:val="008D663E"/>
    <w:rsid w:val="008D6A65"/>
    <w:rsid w:val="008E5273"/>
    <w:rsid w:val="00924007"/>
    <w:rsid w:val="0095707B"/>
    <w:rsid w:val="0099539E"/>
    <w:rsid w:val="009A69D1"/>
    <w:rsid w:val="009E194E"/>
    <w:rsid w:val="009E66A5"/>
    <w:rsid w:val="009F4F2B"/>
    <w:rsid w:val="00A21AF0"/>
    <w:rsid w:val="00A77BC8"/>
    <w:rsid w:val="00AC4A4F"/>
    <w:rsid w:val="00B335F5"/>
    <w:rsid w:val="00BA0870"/>
    <w:rsid w:val="00C96AD5"/>
    <w:rsid w:val="00C96B38"/>
    <w:rsid w:val="00CB7BA7"/>
    <w:rsid w:val="00CE684F"/>
    <w:rsid w:val="00D478AF"/>
    <w:rsid w:val="00D8508B"/>
    <w:rsid w:val="00DA302A"/>
    <w:rsid w:val="00EA2CA8"/>
    <w:rsid w:val="595F61F3"/>
    <w:rsid w:val="69E1364B"/>
    <w:rsid w:val="70CD606F"/>
    <w:rsid w:val="77EE1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701BE9A-85CE-49F5-B494-153C59C5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unhideWhenUsed/>
    <w:rPr>
      <w:color w:val="800080" w:themeColor="followedHyperlink"/>
      <w:u w:val="single"/>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ListParagraph1">
    <w:name w:val="List Paragraph1"/>
    <w:basedOn w:val="Normal"/>
    <w:uiPriority w:val="34"/>
    <w:qFormat/>
    <w:pPr>
      <w:ind w:left="720"/>
      <w:contextualSpacing/>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alive-romania.ro/locatie/" TargetMode="External"/><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diagramColors" Target="diagrams/colors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alive-romania.ro/regulament/" TargetMode="Externa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930A8BE-4DBC-4484-ABD7-557939B17330}" type="doc">
      <dgm:prSet loTypeId="urn:microsoft.com/office/officeart/2005/8/layout/default#1" loCatId="list" qsTypeId="urn:microsoft.com/office/officeart/2005/8/quickstyle/simple1#1" qsCatId="simple" csTypeId="urn:microsoft.com/office/officeart/2005/8/colors/accent1_2#1" csCatId="accent1" phldr="1"/>
      <dgm:spPr/>
      <dgm:t>
        <a:bodyPr/>
        <a:lstStyle/>
        <a:p>
          <a:endParaRPr lang="en-US"/>
        </a:p>
      </dgm:t>
    </dgm:pt>
    <dgm:pt modelId="{CFD23C0F-F62C-4AA0-B106-DAF409D2364B}">
      <dgm:prSet/>
      <dgm:spPr/>
      <dgm:t>
        <a:bodyPr/>
        <a:lstStyle/>
        <a:p>
          <a:r>
            <a:rPr lang="en-US"/>
            <a:t>Categoria 1: 230 RON</a:t>
          </a:r>
        </a:p>
      </dgm:t>
    </dgm:pt>
    <dgm:pt modelId="{9EA12493-9E8D-422A-BD54-77CFA559213C}" type="parTrans" cxnId="{E0AFA37D-5B03-46A5-A60D-27685B7C6BB6}">
      <dgm:prSet/>
      <dgm:spPr/>
      <dgm:t>
        <a:bodyPr/>
        <a:lstStyle/>
        <a:p>
          <a:endParaRPr lang="en-US"/>
        </a:p>
      </dgm:t>
    </dgm:pt>
    <dgm:pt modelId="{76A47388-64D9-4128-ABA0-3EA8A3853425}" type="sibTrans" cxnId="{E0AFA37D-5B03-46A5-A60D-27685B7C6BB6}">
      <dgm:prSet/>
      <dgm:spPr/>
      <dgm:t>
        <a:bodyPr/>
        <a:lstStyle/>
        <a:p>
          <a:endParaRPr lang="en-US"/>
        </a:p>
      </dgm:t>
    </dgm:pt>
    <dgm:pt modelId="{9AF399CA-771B-48F0-A0E8-2E3CDD4B7FCD}">
      <dgm:prSet/>
      <dgm:spPr/>
      <dgm:t>
        <a:bodyPr/>
        <a:lstStyle/>
        <a:p>
          <a:endParaRPr lang="en-US"/>
        </a:p>
      </dgm:t>
    </dgm:pt>
    <dgm:pt modelId="{215E8C43-D944-4868-B5B6-E11A914BFB59}" type="parTrans" cxnId="{BD5B45AF-8341-4A46-9598-05C672F47F87}">
      <dgm:prSet/>
      <dgm:spPr/>
      <dgm:t>
        <a:bodyPr/>
        <a:lstStyle/>
        <a:p>
          <a:endParaRPr lang="en-US"/>
        </a:p>
      </dgm:t>
    </dgm:pt>
    <dgm:pt modelId="{8B34B3B4-AA0E-47F0-8F9A-935F399C688A}" type="sibTrans" cxnId="{BD5B45AF-8341-4A46-9598-05C672F47F87}">
      <dgm:prSet/>
      <dgm:spPr/>
      <dgm:t>
        <a:bodyPr/>
        <a:lstStyle/>
        <a:p>
          <a:endParaRPr lang="en-US"/>
        </a:p>
      </dgm:t>
    </dgm:pt>
    <dgm:pt modelId="{330CD1C9-4C88-4562-B3A6-1B7E8A8034C1}">
      <dgm:prSet/>
      <dgm:spPr/>
      <dgm:t>
        <a:bodyPr/>
        <a:lstStyle/>
        <a:p>
          <a:r>
            <a:rPr lang="en-US"/>
            <a:t>Categoria 2: 180 RON</a:t>
          </a:r>
        </a:p>
      </dgm:t>
    </dgm:pt>
    <dgm:pt modelId="{F36B7490-2F43-4ED4-AE40-93CDD5DC0B9E}" type="parTrans" cxnId="{F4028A50-05CE-4771-9863-0835C5E10EE0}">
      <dgm:prSet/>
      <dgm:spPr/>
      <dgm:t>
        <a:bodyPr/>
        <a:lstStyle/>
        <a:p>
          <a:endParaRPr lang="en-US"/>
        </a:p>
      </dgm:t>
    </dgm:pt>
    <dgm:pt modelId="{A2E937F9-93A2-4E6B-BF9C-EFA8941A8F03}" type="sibTrans" cxnId="{F4028A50-05CE-4771-9863-0835C5E10EE0}">
      <dgm:prSet/>
      <dgm:spPr/>
      <dgm:t>
        <a:bodyPr/>
        <a:lstStyle/>
        <a:p>
          <a:endParaRPr lang="en-US"/>
        </a:p>
      </dgm:t>
    </dgm:pt>
    <dgm:pt modelId="{24BCAE30-DFE6-4CC3-85BC-CBB6D6538FCD}">
      <dgm:prSet/>
      <dgm:spPr/>
      <dgm:t>
        <a:bodyPr/>
        <a:lstStyle/>
        <a:p>
          <a:r>
            <a:rPr lang="en-US"/>
            <a:t>Categoria 3: 160 RON</a:t>
          </a:r>
        </a:p>
      </dgm:t>
    </dgm:pt>
    <dgm:pt modelId="{3867CE84-02CC-43E1-A0C6-E70CAA504D4E}" type="parTrans" cxnId="{43E69794-1739-485D-B6D2-AFEE0D3F7A0F}">
      <dgm:prSet/>
      <dgm:spPr/>
      <dgm:t>
        <a:bodyPr/>
        <a:lstStyle/>
        <a:p>
          <a:endParaRPr lang="en-US"/>
        </a:p>
      </dgm:t>
    </dgm:pt>
    <dgm:pt modelId="{ABDE529C-E197-4ED7-8420-181589C3444C}" type="sibTrans" cxnId="{43E69794-1739-485D-B6D2-AFEE0D3F7A0F}">
      <dgm:prSet/>
      <dgm:spPr/>
      <dgm:t>
        <a:bodyPr/>
        <a:lstStyle/>
        <a:p>
          <a:endParaRPr lang="en-US"/>
        </a:p>
      </dgm:t>
    </dgm:pt>
    <dgm:pt modelId="{A8512BE2-8D75-4CB5-85F6-5A22F730D894}">
      <dgm:prSet/>
      <dgm:spPr/>
      <dgm:t>
        <a:bodyPr/>
        <a:lstStyle/>
        <a:p>
          <a:r>
            <a:rPr lang="en-US"/>
            <a:t>Categoria 5: 95 RON</a:t>
          </a:r>
        </a:p>
      </dgm:t>
    </dgm:pt>
    <dgm:pt modelId="{B0F0D583-4DDD-4815-BD39-BD50D196D134}" type="parTrans" cxnId="{1102C1F6-3E3D-403B-9EBE-74CE2D42D858}">
      <dgm:prSet/>
      <dgm:spPr/>
      <dgm:t>
        <a:bodyPr/>
        <a:lstStyle/>
        <a:p>
          <a:endParaRPr lang="en-US"/>
        </a:p>
      </dgm:t>
    </dgm:pt>
    <dgm:pt modelId="{BB286435-D4DA-47B2-9755-3FA99D084A88}" type="sibTrans" cxnId="{1102C1F6-3E3D-403B-9EBE-74CE2D42D858}">
      <dgm:prSet/>
      <dgm:spPr/>
      <dgm:t>
        <a:bodyPr/>
        <a:lstStyle/>
        <a:p>
          <a:endParaRPr lang="en-US"/>
        </a:p>
      </dgm:t>
    </dgm:pt>
    <dgm:pt modelId="{9B3DE111-78C9-4C15-8950-8A07E923B4A5}">
      <dgm:prSet/>
      <dgm:spPr/>
      <dgm:t>
        <a:bodyPr/>
        <a:lstStyle/>
        <a:p>
          <a:r>
            <a:rPr lang="en-US"/>
            <a:t>Golden: 285 RON</a:t>
          </a:r>
        </a:p>
      </dgm:t>
    </dgm:pt>
    <dgm:pt modelId="{53A71128-9FFB-472B-AF3B-B6A91B191B6A}" type="parTrans" cxnId="{23FE2900-44AE-473E-B1B7-927287388C88}">
      <dgm:prSet/>
      <dgm:spPr/>
      <dgm:t>
        <a:bodyPr/>
        <a:lstStyle/>
        <a:p>
          <a:endParaRPr lang="en-US"/>
        </a:p>
      </dgm:t>
    </dgm:pt>
    <dgm:pt modelId="{9FD83372-D770-48F0-BD4E-F73B1C789E7B}" type="sibTrans" cxnId="{23FE2900-44AE-473E-B1B7-927287388C88}">
      <dgm:prSet/>
      <dgm:spPr/>
      <dgm:t>
        <a:bodyPr/>
        <a:lstStyle/>
        <a:p>
          <a:endParaRPr lang="en-US"/>
        </a:p>
      </dgm:t>
    </dgm:pt>
    <dgm:pt modelId="{BDF97DF5-F1D9-4561-86F5-C8D3228AED9C}">
      <dgm:prSet/>
      <dgm:spPr/>
      <dgm:t>
        <a:bodyPr/>
        <a:lstStyle/>
        <a:p>
          <a:r>
            <a:rPr lang="en-US"/>
            <a:t>Gazon: 190 RON</a:t>
          </a:r>
        </a:p>
      </dgm:t>
    </dgm:pt>
    <dgm:pt modelId="{9BD5520F-5E1B-4ECD-B5F2-A54E046822E2}" type="parTrans" cxnId="{5BF8EC6A-4142-4A69-ACB1-B97814AC8EB2}">
      <dgm:prSet/>
      <dgm:spPr/>
      <dgm:t>
        <a:bodyPr/>
        <a:lstStyle/>
        <a:p>
          <a:endParaRPr lang="en-US"/>
        </a:p>
      </dgm:t>
    </dgm:pt>
    <dgm:pt modelId="{098ECCF6-4063-46C8-BB43-F12FD7BDAF32}" type="sibTrans" cxnId="{5BF8EC6A-4142-4A69-ACB1-B97814AC8EB2}">
      <dgm:prSet/>
      <dgm:spPr/>
      <dgm:t>
        <a:bodyPr/>
        <a:lstStyle/>
        <a:p>
          <a:endParaRPr lang="en-US"/>
        </a:p>
      </dgm:t>
    </dgm:pt>
    <dgm:pt modelId="{67062293-30CD-478F-9B2E-326DD008C1C6}">
      <dgm:prSet/>
      <dgm:spPr/>
      <dgm:t>
        <a:bodyPr/>
        <a:lstStyle/>
        <a:p>
          <a:endParaRPr lang="en-US"/>
        </a:p>
      </dgm:t>
    </dgm:pt>
    <dgm:pt modelId="{87CC8FB1-9F51-4226-8D89-7A1E35E36413}" type="parTrans" cxnId="{03EBFF6A-0571-418E-90BE-4606ACCB37EE}">
      <dgm:prSet/>
      <dgm:spPr/>
      <dgm:t>
        <a:bodyPr/>
        <a:lstStyle/>
        <a:p>
          <a:endParaRPr lang="en-US"/>
        </a:p>
      </dgm:t>
    </dgm:pt>
    <dgm:pt modelId="{85BCABFE-5DBE-4F56-B383-64FD804C75E7}" type="sibTrans" cxnId="{03EBFF6A-0571-418E-90BE-4606ACCB37EE}">
      <dgm:prSet/>
      <dgm:spPr/>
      <dgm:t>
        <a:bodyPr/>
        <a:lstStyle/>
        <a:p>
          <a:endParaRPr lang="en-US"/>
        </a:p>
      </dgm:t>
    </dgm:pt>
    <dgm:pt modelId="{ED5B9964-2E7C-4E93-BC60-B3784ECB793F}">
      <dgm:prSet/>
      <dgm:spPr/>
      <dgm:t>
        <a:bodyPr/>
        <a:lstStyle/>
        <a:p>
          <a:r>
            <a:rPr lang="en-US"/>
            <a:t>VIP: 500 RON</a:t>
          </a:r>
        </a:p>
      </dgm:t>
    </dgm:pt>
    <dgm:pt modelId="{450DD353-F2C9-44D8-823D-43C652F94EFA}" type="parTrans" cxnId="{FC0B5277-C636-49CD-A58F-A1BA9E940793}">
      <dgm:prSet/>
      <dgm:spPr/>
      <dgm:t>
        <a:bodyPr/>
        <a:lstStyle/>
        <a:p>
          <a:endParaRPr lang="en-US"/>
        </a:p>
      </dgm:t>
    </dgm:pt>
    <dgm:pt modelId="{DB37843D-93DA-4155-893B-AAD2D3F7D618}" type="sibTrans" cxnId="{FC0B5277-C636-49CD-A58F-A1BA9E940793}">
      <dgm:prSet/>
      <dgm:spPr/>
      <dgm:t>
        <a:bodyPr/>
        <a:lstStyle/>
        <a:p>
          <a:endParaRPr lang="en-US"/>
        </a:p>
      </dgm:t>
    </dgm:pt>
    <dgm:pt modelId="{BE039702-6845-4D15-8C7D-33ABC8EB56EF}" type="pres">
      <dgm:prSet presAssocID="{A930A8BE-4DBC-4484-ABD7-557939B17330}" presName="diagram" presStyleCnt="0">
        <dgm:presLayoutVars>
          <dgm:dir/>
          <dgm:resizeHandles val="exact"/>
        </dgm:presLayoutVars>
      </dgm:prSet>
      <dgm:spPr/>
      <dgm:t>
        <a:bodyPr/>
        <a:lstStyle/>
        <a:p>
          <a:endParaRPr lang="en-US"/>
        </a:p>
      </dgm:t>
    </dgm:pt>
    <dgm:pt modelId="{53FBBE3A-9974-472A-A18C-63E56A12210E}" type="pres">
      <dgm:prSet presAssocID="{CFD23C0F-F62C-4AA0-B106-DAF409D2364B}" presName="node" presStyleLbl="node1" presStyleIdx="0" presStyleCnt="7">
        <dgm:presLayoutVars>
          <dgm:bulletEnabled val="1"/>
        </dgm:presLayoutVars>
      </dgm:prSet>
      <dgm:spPr/>
      <dgm:t>
        <a:bodyPr/>
        <a:lstStyle/>
        <a:p>
          <a:endParaRPr lang="en-US"/>
        </a:p>
      </dgm:t>
    </dgm:pt>
    <dgm:pt modelId="{886D857A-96A7-4478-891C-A5615C493C32}" type="pres">
      <dgm:prSet presAssocID="{76A47388-64D9-4128-ABA0-3EA8A3853425}" presName="sibTrans" presStyleCnt="0"/>
      <dgm:spPr/>
    </dgm:pt>
    <dgm:pt modelId="{544D80A2-C958-4A88-AF6A-586F0227801E}" type="pres">
      <dgm:prSet presAssocID="{330CD1C9-4C88-4562-B3A6-1B7E8A8034C1}" presName="node" presStyleLbl="node1" presStyleIdx="1" presStyleCnt="7">
        <dgm:presLayoutVars>
          <dgm:bulletEnabled val="1"/>
        </dgm:presLayoutVars>
      </dgm:prSet>
      <dgm:spPr/>
      <dgm:t>
        <a:bodyPr/>
        <a:lstStyle/>
        <a:p>
          <a:endParaRPr lang="en-US"/>
        </a:p>
      </dgm:t>
    </dgm:pt>
    <dgm:pt modelId="{70F68CD3-DE68-4D15-A144-2AF1879203C3}" type="pres">
      <dgm:prSet presAssocID="{A2E937F9-93A2-4E6B-BF9C-EFA8941A8F03}" presName="sibTrans" presStyleCnt="0"/>
      <dgm:spPr/>
    </dgm:pt>
    <dgm:pt modelId="{C7FE63F7-C568-4791-841B-8EDACE9C4A81}" type="pres">
      <dgm:prSet presAssocID="{24BCAE30-DFE6-4CC3-85BC-CBB6D6538FCD}" presName="node" presStyleLbl="node1" presStyleIdx="2" presStyleCnt="7">
        <dgm:presLayoutVars>
          <dgm:bulletEnabled val="1"/>
        </dgm:presLayoutVars>
      </dgm:prSet>
      <dgm:spPr/>
      <dgm:t>
        <a:bodyPr/>
        <a:lstStyle/>
        <a:p>
          <a:endParaRPr lang="en-US"/>
        </a:p>
      </dgm:t>
    </dgm:pt>
    <dgm:pt modelId="{1D8A7D4D-1CEA-4C63-9A48-8F9C2E9DB3F0}" type="pres">
      <dgm:prSet presAssocID="{ABDE529C-E197-4ED7-8420-181589C3444C}" presName="sibTrans" presStyleCnt="0"/>
      <dgm:spPr/>
    </dgm:pt>
    <dgm:pt modelId="{D6156542-E7FC-4060-B01E-7941129C6832}" type="pres">
      <dgm:prSet presAssocID="{A8512BE2-8D75-4CB5-85F6-5A22F730D894}" presName="node" presStyleLbl="node1" presStyleIdx="3" presStyleCnt="7">
        <dgm:presLayoutVars>
          <dgm:bulletEnabled val="1"/>
        </dgm:presLayoutVars>
      </dgm:prSet>
      <dgm:spPr/>
      <dgm:t>
        <a:bodyPr/>
        <a:lstStyle/>
        <a:p>
          <a:endParaRPr lang="en-US"/>
        </a:p>
      </dgm:t>
    </dgm:pt>
    <dgm:pt modelId="{D4DB9B2D-59A8-47F6-95BC-D55D0C0450AD}" type="pres">
      <dgm:prSet presAssocID="{BB286435-D4DA-47B2-9755-3FA99D084A88}" presName="sibTrans" presStyleCnt="0"/>
      <dgm:spPr/>
    </dgm:pt>
    <dgm:pt modelId="{8E1B4641-1C67-47BA-A7E0-75CB02026CCC}" type="pres">
      <dgm:prSet presAssocID="{9B3DE111-78C9-4C15-8950-8A07E923B4A5}" presName="node" presStyleLbl="node1" presStyleIdx="4" presStyleCnt="7">
        <dgm:presLayoutVars>
          <dgm:bulletEnabled val="1"/>
        </dgm:presLayoutVars>
      </dgm:prSet>
      <dgm:spPr/>
      <dgm:t>
        <a:bodyPr/>
        <a:lstStyle/>
        <a:p>
          <a:endParaRPr lang="en-US"/>
        </a:p>
      </dgm:t>
    </dgm:pt>
    <dgm:pt modelId="{941CFD16-038E-42E3-ABD2-C0F9233036F1}" type="pres">
      <dgm:prSet presAssocID="{9FD83372-D770-48F0-BD4E-F73B1C789E7B}" presName="sibTrans" presStyleCnt="0"/>
      <dgm:spPr/>
    </dgm:pt>
    <dgm:pt modelId="{43D69C7E-93DF-42B4-B0CC-0D5D5EEFDBEC}" type="pres">
      <dgm:prSet presAssocID="{BDF97DF5-F1D9-4561-86F5-C8D3228AED9C}" presName="node" presStyleLbl="node1" presStyleIdx="5" presStyleCnt="7">
        <dgm:presLayoutVars>
          <dgm:bulletEnabled val="1"/>
        </dgm:presLayoutVars>
      </dgm:prSet>
      <dgm:spPr/>
      <dgm:t>
        <a:bodyPr/>
        <a:lstStyle/>
        <a:p>
          <a:endParaRPr lang="en-US"/>
        </a:p>
      </dgm:t>
    </dgm:pt>
    <dgm:pt modelId="{6915A85E-28F4-4940-B329-D4C4AB2BCEB2}" type="pres">
      <dgm:prSet presAssocID="{098ECCF6-4063-46C8-BB43-F12FD7BDAF32}" presName="sibTrans" presStyleCnt="0"/>
      <dgm:spPr/>
    </dgm:pt>
    <dgm:pt modelId="{99E62C96-140A-43C1-9372-92EE21CD5668}" type="pres">
      <dgm:prSet presAssocID="{ED5B9964-2E7C-4E93-BC60-B3784ECB793F}" presName="node" presStyleLbl="node1" presStyleIdx="6" presStyleCnt="7">
        <dgm:presLayoutVars>
          <dgm:bulletEnabled val="1"/>
        </dgm:presLayoutVars>
      </dgm:prSet>
      <dgm:spPr/>
      <dgm:t>
        <a:bodyPr/>
        <a:lstStyle/>
        <a:p>
          <a:endParaRPr lang="en-US"/>
        </a:p>
      </dgm:t>
    </dgm:pt>
  </dgm:ptLst>
  <dgm:cxnLst>
    <dgm:cxn modelId="{77BA61E6-F7BC-4F3C-9B0D-F96AD59C5ED1}" type="presOf" srcId="{330CD1C9-4C88-4562-B3A6-1B7E8A8034C1}" destId="{544D80A2-C958-4A88-AF6A-586F0227801E}" srcOrd="0" destOrd="0" presId="urn:microsoft.com/office/officeart/2005/8/layout/default#1"/>
    <dgm:cxn modelId="{56D5C9EE-0DB8-4EDF-A94D-1091E7358FC4}" type="presOf" srcId="{67062293-30CD-478F-9B2E-326DD008C1C6}" destId="{43D69C7E-93DF-42B4-B0CC-0D5D5EEFDBEC}" srcOrd="0" destOrd="1" presId="urn:microsoft.com/office/officeart/2005/8/layout/default#1"/>
    <dgm:cxn modelId="{A4673490-CDCF-4F07-B6C8-DC495C7D45D5}" type="presOf" srcId="{CFD23C0F-F62C-4AA0-B106-DAF409D2364B}" destId="{53FBBE3A-9974-472A-A18C-63E56A12210E}" srcOrd="0" destOrd="0" presId="urn:microsoft.com/office/officeart/2005/8/layout/default#1"/>
    <dgm:cxn modelId="{FC0B5277-C636-49CD-A58F-A1BA9E940793}" srcId="{A930A8BE-4DBC-4484-ABD7-557939B17330}" destId="{ED5B9964-2E7C-4E93-BC60-B3784ECB793F}" srcOrd="6" destOrd="0" parTransId="{450DD353-F2C9-44D8-823D-43C652F94EFA}" sibTransId="{DB37843D-93DA-4155-893B-AAD2D3F7D618}"/>
    <dgm:cxn modelId="{BD5B45AF-8341-4A46-9598-05C672F47F87}" srcId="{CFD23C0F-F62C-4AA0-B106-DAF409D2364B}" destId="{9AF399CA-771B-48F0-A0E8-2E3CDD4B7FCD}" srcOrd="0" destOrd="0" parTransId="{215E8C43-D944-4868-B5B6-E11A914BFB59}" sibTransId="{8B34B3B4-AA0E-47F0-8F9A-935F399C688A}"/>
    <dgm:cxn modelId="{23FE2900-44AE-473E-B1B7-927287388C88}" srcId="{A930A8BE-4DBC-4484-ABD7-557939B17330}" destId="{9B3DE111-78C9-4C15-8950-8A07E923B4A5}" srcOrd="4" destOrd="0" parTransId="{53A71128-9FFB-472B-AF3B-B6A91B191B6A}" sibTransId="{9FD83372-D770-48F0-BD4E-F73B1C789E7B}"/>
    <dgm:cxn modelId="{D02BCAB9-3E68-4F98-A873-1BBE55A12EDE}" type="presOf" srcId="{ED5B9964-2E7C-4E93-BC60-B3784ECB793F}" destId="{99E62C96-140A-43C1-9372-92EE21CD5668}" srcOrd="0" destOrd="0" presId="urn:microsoft.com/office/officeart/2005/8/layout/default#1"/>
    <dgm:cxn modelId="{F4028A50-05CE-4771-9863-0835C5E10EE0}" srcId="{A930A8BE-4DBC-4484-ABD7-557939B17330}" destId="{330CD1C9-4C88-4562-B3A6-1B7E8A8034C1}" srcOrd="1" destOrd="0" parTransId="{F36B7490-2F43-4ED4-AE40-93CDD5DC0B9E}" sibTransId="{A2E937F9-93A2-4E6B-BF9C-EFA8941A8F03}"/>
    <dgm:cxn modelId="{7CAB2DF0-281B-4E7F-BC3F-457AAF62435D}" type="presOf" srcId="{A930A8BE-4DBC-4484-ABD7-557939B17330}" destId="{BE039702-6845-4D15-8C7D-33ABC8EB56EF}" srcOrd="0" destOrd="0" presId="urn:microsoft.com/office/officeart/2005/8/layout/default#1"/>
    <dgm:cxn modelId="{43E69794-1739-485D-B6D2-AFEE0D3F7A0F}" srcId="{A930A8BE-4DBC-4484-ABD7-557939B17330}" destId="{24BCAE30-DFE6-4CC3-85BC-CBB6D6538FCD}" srcOrd="2" destOrd="0" parTransId="{3867CE84-02CC-43E1-A0C6-E70CAA504D4E}" sibTransId="{ABDE529C-E197-4ED7-8420-181589C3444C}"/>
    <dgm:cxn modelId="{F906C915-8F8C-4942-A016-5A120E94447C}" type="presOf" srcId="{BDF97DF5-F1D9-4561-86F5-C8D3228AED9C}" destId="{43D69C7E-93DF-42B4-B0CC-0D5D5EEFDBEC}" srcOrd="0" destOrd="0" presId="urn:microsoft.com/office/officeart/2005/8/layout/default#1"/>
    <dgm:cxn modelId="{85F62B11-5D20-4589-B595-026977986D72}" type="presOf" srcId="{9B3DE111-78C9-4C15-8950-8A07E923B4A5}" destId="{8E1B4641-1C67-47BA-A7E0-75CB02026CCC}" srcOrd="0" destOrd="0" presId="urn:microsoft.com/office/officeart/2005/8/layout/default#1"/>
    <dgm:cxn modelId="{1134F8BE-0B0E-41DF-903A-A3A9B1B62E1B}" type="presOf" srcId="{24BCAE30-DFE6-4CC3-85BC-CBB6D6538FCD}" destId="{C7FE63F7-C568-4791-841B-8EDACE9C4A81}" srcOrd="0" destOrd="0" presId="urn:microsoft.com/office/officeart/2005/8/layout/default#1"/>
    <dgm:cxn modelId="{5BF8EC6A-4142-4A69-ACB1-B97814AC8EB2}" srcId="{A930A8BE-4DBC-4484-ABD7-557939B17330}" destId="{BDF97DF5-F1D9-4561-86F5-C8D3228AED9C}" srcOrd="5" destOrd="0" parTransId="{9BD5520F-5E1B-4ECD-B5F2-A54E046822E2}" sibTransId="{098ECCF6-4063-46C8-BB43-F12FD7BDAF32}"/>
    <dgm:cxn modelId="{1102C1F6-3E3D-403B-9EBE-74CE2D42D858}" srcId="{A930A8BE-4DBC-4484-ABD7-557939B17330}" destId="{A8512BE2-8D75-4CB5-85F6-5A22F730D894}" srcOrd="3" destOrd="0" parTransId="{B0F0D583-4DDD-4815-BD39-BD50D196D134}" sibTransId="{BB286435-D4DA-47B2-9755-3FA99D084A88}"/>
    <dgm:cxn modelId="{229C653B-57F2-495A-B5DC-E9290CB69165}" type="presOf" srcId="{9AF399CA-771B-48F0-A0E8-2E3CDD4B7FCD}" destId="{53FBBE3A-9974-472A-A18C-63E56A12210E}" srcOrd="0" destOrd="1" presId="urn:microsoft.com/office/officeart/2005/8/layout/default#1"/>
    <dgm:cxn modelId="{03EBFF6A-0571-418E-90BE-4606ACCB37EE}" srcId="{BDF97DF5-F1D9-4561-86F5-C8D3228AED9C}" destId="{67062293-30CD-478F-9B2E-326DD008C1C6}" srcOrd="0" destOrd="0" parTransId="{87CC8FB1-9F51-4226-8D89-7A1E35E36413}" sibTransId="{85BCABFE-5DBE-4F56-B383-64FD804C75E7}"/>
    <dgm:cxn modelId="{E0AFA37D-5B03-46A5-A60D-27685B7C6BB6}" srcId="{A930A8BE-4DBC-4484-ABD7-557939B17330}" destId="{CFD23C0F-F62C-4AA0-B106-DAF409D2364B}" srcOrd="0" destOrd="0" parTransId="{9EA12493-9E8D-422A-BD54-77CFA559213C}" sibTransId="{76A47388-64D9-4128-ABA0-3EA8A3853425}"/>
    <dgm:cxn modelId="{E728E19D-7B2C-4642-B189-4D6CA0BD2A35}" type="presOf" srcId="{A8512BE2-8D75-4CB5-85F6-5A22F730D894}" destId="{D6156542-E7FC-4060-B01E-7941129C6832}" srcOrd="0" destOrd="0" presId="urn:microsoft.com/office/officeart/2005/8/layout/default#1"/>
    <dgm:cxn modelId="{915FE978-DA70-4119-98F5-54E8A641A864}" type="presParOf" srcId="{BE039702-6845-4D15-8C7D-33ABC8EB56EF}" destId="{53FBBE3A-9974-472A-A18C-63E56A12210E}" srcOrd="0" destOrd="0" presId="urn:microsoft.com/office/officeart/2005/8/layout/default#1"/>
    <dgm:cxn modelId="{C93F899A-A1BA-42CB-9B8B-1852FE555B90}" type="presParOf" srcId="{BE039702-6845-4D15-8C7D-33ABC8EB56EF}" destId="{886D857A-96A7-4478-891C-A5615C493C32}" srcOrd="1" destOrd="0" presId="urn:microsoft.com/office/officeart/2005/8/layout/default#1"/>
    <dgm:cxn modelId="{5E6C323C-E64B-405F-906D-8D625A0E4D87}" type="presParOf" srcId="{BE039702-6845-4D15-8C7D-33ABC8EB56EF}" destId="{544D80A2-C958-4A88-AF6A-586F0227801E}" srcOrd="2" destOrd="0" presId="urn:microsoft.com/office/officeart/2005/8/layout/default#1"/>
    <dgm:cxn modelId="{DA3050C3-EEDB-454E-A906-90F6AD2FD647}" type="presParOf" srcId="{BE039702-6845-4D15-8C7D-33ABC8EB56EF}" destId="{70F68CD3-DE68-4D15-A144-2AF1879203C3}" srcOrd="3" destOrd="0" presId="urn:microsoft.com/office/officeart/2005/8/layout/default#1"/>
    <dgm:cxn modelId="{88327064-A28A-48CF-8AC8-FAD43F6EA02F}" type="presParOf" srcId="{BE039702-6845-4D15-8C7D-33ABC8EB56EF}" destId="{C7FE63F7-C568-4791-841B-8EDACE9C4A81}" srcOrd="4" destOrd="0" presId="urn:microsoft.com/office/officeart/2005/8/layout/default#1"/>
    <dgm:cxn modelId="{B4CB9480-3177-49B9-A399-ABF05EC407CD}" type="presParOf" srcId="{BE039702-6845-4D15-8C7D-33ABC8EB56EF}" destId="{1D8A7D4D-1CEA-4C63-9A48-8F9C2E9DB3F0}" srcOrd="5" destOrd="0" presId="urn:microsoft.com/office/officeart/2005/8/layout/default#1"/>
    <dgm:cxn modelId="{C55FB005-1670-4544-BED3-AACAF1A5ACD2}" type="presParOf" srcId="{BE039702-6845-4D15-8C7D-33ABC8EB56EF}" destId="{D6156542-E7FC-4060-B01E-7941129C6832}" srcOrd="6" destOrd="0" presId="urn:microsoft.com/office/officeart/2005/8/layout/default#1"/>
    <dgm:cxn modelId="{57D6941F-8C09-47FC-8470-4F31030A4FC6}" type="presParOf" srcId="{BE039702-6845-4D15-8C7D-33ABC8EB56EF}" destId="{D4DB9B2D-59A8-47F6-95BC-D55D0C0450AD}" srcOrd="7" destOrd="0" presId="urn:microsoft.com/office/officeart/2005/8/layout/default#1"/>
    <dgm:cxn modelId="{400DE813-47DB-484F-8C2C-399E8F5D9C90}" type="presParOf" srcId="{BE039702-6845-4D15-8C7D-33ABC8EB56EF}" destId="{8E1B4641-1C67-47BA-A7E0-75CB02026CCC}" srcOrd="8" destOrd="0" presId="urn:microsoft.com/office/officeart/2005/8/layout/default#1"/>
    <dgm:cxn modelId="{037B330A-B394-40A6-B6DD-6E24DCA6DC94}" type="presParOf" srcId="{BE039702-6845-4D15-8C7D-33ABC8EB56EF}" destId="{941CFD16-038E-42E3-ABD2-C0F9233036F1}" srcOrd="9" destOrd="0" presId="urn:microsoft.com/office/officeart/2005/8/layout/default#1"/>
    <dgm:cxn modelId="{FF99D3B4-CDCC-4676-98BD-CE2E6BE96C46}" type="presParOf" srcId="{BE039702-6845-4D15-8C7D-33ABC8EB56EF}" destId="{43D69C7E-93DF-42B4-B0CC-0D5D5EEFDBEC}" srcOrd="10" destOrd="0" presId="urn:microsoft.com/office/officeart/2005/8/layout/default#1"/>
    <dgm:cxn modelId="{27B4FED8-A6CC-4A03-B1B8-62EFD621DD5E}" type="presParOf" srcId="{BE039702-6845-4D15-8C7D-33ABC8EB56EF}" destId="{6915A85E-28F4-4940-B329-D4C4AB2BCEB2}" srcOrd="11" destOrd="0" presId="urn:microsoft.com/office/officeart/2005/8/layout/default#1"/>
    <dgm:cxn modelId="{5BBB3397-BECC-478C-9FED-0CCED347468B}" type="presParOf" srcId="{BE039702-6845-4D15-8C7D-33ABC8EB56EF}" destId="{99E62C96-140A-43C1-9372-92EE21CD5668}" srcOrd="12"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BBE3A-9974-472A-A18C-63E56A12210E}">
      <dsp:nvSpPr>
        <dsp:cNvPr id="0" name=""/>
        <dsp:cNvSpPr/>
      </dsp:nvSpPr>
      <dsp:spPr>
        <a:xfrm>
          <a:off x="1769" y="97652"/>
          <a:ext cx="1403560" cy="842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Categoria 1: 230 RON</a:t>
          </a:r>
        </a:p>
        <a:p>
          <a:pPr marL="114300" lvl="1" indent="-114300" algn="l" defTabSz="533400">
            <a:lnSpc>
              <a:spcPct val="90000"/>
            </a:lnSpc>
            <a:spcBef>
              <a:spcPct val="0"/>
            </a:spcBef>
            <a:spcAft>
              <a:spcPct val="15000"/>
            </a:spcAft>
            <a:buChar char="••"/>
          </a:pPr>
          <a:endParaRPr lang="en-US" sz="1200" kern="1200"/>
        </a:p>
      </dsp:txBody>
      <dsp:txXfrm>
        <a:off x="1769" y="97652"/>
        <a:ext cx="1403560" cy="842136"/>
      </dsp:txXfrm>
    </dsp:sp>
    <dsp:sp modelId="{544D80A2-C958-4A88-AF6A-586F0227801E}">
      <dsp:nvSpPr>
        <dsp:cNvPr id="0" name=""/>
        <dsp:cNvSpPr/>
      </dsp:nvSpPr>
      <dsp:spPr>
        <a:xfrm>
          <a:off x="1545686" y="97652"/>
          <a:ext cx="1403560" cy="842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Categoria 2: 180 RON</a:t>
          </a:r>
        </a:p>
      </dsp:txBody>
      <dsp:txXfrm>
        <a:off x="1545686" y="97652"/>
        <a:ext cx="1403560" cy="842136"/>
      </dsp:txXfrm>
    </dsp:sp>
    <dsp:sp modelId="{C7FE63F7-C568-4791-841B-8EDACE9C4A81}">
      <dsp:nvSpPr>
        <dsp:cNvPr id="0" name=""/>
        <dsp:cNvSpPr/>
      </dsp:nvSpPr>
      <dsp:spPr>
        <a:xfrm>
          <a:off x="3089603" y="97652"/>
          <a:ext cx="1403560" cy="842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Categoria 3: 160 RON</a:t>
          </a:r>
        </a:p>
      </dsp:txBody>
      <dsp:txXfrm>
        <a:off x="3089603" y="97652"/>
        <a:ext cx="1403560" cy="842136"/>
      </dsp:txXfrm>
    </dsp:sp>
    <dsp:sp modelId="{D6156542-E7FC-4060-B01E-7941129C6832}">
      <dsp:nvSpPr>
        <dsp:cNvPr id="0" name=""/>
        <dsp:cNvSpPr/>
      </dsp:nvSpPr>
      <dsp:spPr>
        <a:xfrm>
          <a:off x="4633519" y="97652"/>
          <a:ext cx="1403560" cy="842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Categoria 5: 95 RON</a:t>
          </a:r>
        </a:p>
      </dsp:txBody>
      <dsp:txXfrm>
        <a:off x="4633519" y="97652"/>
        <a:ext cx="1403560" cy="842136"/>
      </dsp:txXfrm>
    </dsp:sp>
    <dsp:sp modelId="{8E1B4641-1C67-47BA-A7E0-75CB02026CCC}">
      <dsp:nvSpPr>
        <dsp:cNvPr id="0" name=""/>
        <dsp:cNvSpPr/>
      </dsp:nvSpPr>
      <dsp:spPr>
        <a:xfrm>
          <a:off x="773727" y="1080145"/>
          <a:ext cx="1403560" cy="842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Golden: 285 RON</a:t>
          </a:r>
        </a:p>
      </dsp:txBody>
      <dsp:txXfrm>
        <a:off x="773727" y="1080145"/>
        <a:ext cx="1403560" cy="842136"/>
      </dsp:txXfrm>
    </dsp:sp>
    <dsp:sp modelId="{43D69C7E-93DF-42B4-B0CC-0D5D5EEFDBEC}">
      <dsp:nvSpPr>
        <dsp:cNvPr id="0" name=""/>
        <dsp:cNvSpPr/>
      </dsp:nvSpPr>
      <dsp:spPr>
        <a:xfrm>
          <a:off x="2317644" y="1080145"/>
          <a:ext cx="1403560" cy="842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Gazon: 190 RON</a:t>
          </a:r>
        </a:p>
        <a:p>
          <a:pPr marL="114300" lvl="1" indent="-114300" algn="l" defTabSz="533400">
            <a:lnSpc>
              <a:spcPct val="90000"/>
            </a:lnSpc>
            <a:spcBef>
              <a:spcPct val="0"/>
            </a:spcBef>
            <a:spcAft>
              <a:spcPct val="15000"/>
            </a:spcAft>
            <a:buChar char="••"/>
          </a:pPr>
          <a:endParaRPr lang="en-US" sz="1200" kern="1200"/>
        </a:p>
      </dsp:txBody>
      <dsp:txXfrm>
        <a:off x="2317644" y="1080145"/>
        <a:ext cx="1403560" cy="842136"/>
      </dsp:txXfrm>
    </dsp:sp>
    <dsp:sp modelId="{99E62C96-140A-43C1-9372-92EE21CD5668}">
      <dsp:nvSpPr>
        <dsp:cNvPr id="0" name=""/>
        <dsp:cNvSpPr/>
      </dsp:nvSpPr>
      <dsp:spPr>
        <a:xfrm>
          <a:off x="3861561" y="1080145"/>
          <a:ext cx="1403560" cy="8421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VIP: 500 RON</a:t>
          </a:r>
        </a:p>
      </dsp:txBody>
      <dsp:txXfrm>
        <a:off x="3861561" y="1080145"/>
        <a:ext cx="1403560" cy="84213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517</Words>
  <Characters>2953</Characters>
  <Application>Microsoft Office Word</Application>
  <DocSecurity>0</DocSecurity>
  <Lines>24</Lines>
  <Paragraphs>6</Paragraphs>
  <ScaleCrop>false</ScaleCrop>
  <Company>Oracle Corporation</Company>
  <LinksUpToDate>false</LinksUpToDate>
  <CharactersWithSpaces>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alegeorg</dc:creator>
  <cp:lastModifiedBy>Adrian Greu</cp:lastModifiedBy>
  <cp:revision>23</cp:revision>
  <cp:lastPrinted>2017-06-16T09:08:00Z</cp:lastPrinted>
  <dcterms:created xsi:type="dcterms:W3CDTF">2017-06-14T15:09:00Z</dcterms:created>
  <dcterms:modified xsi:type="dcterms:W3CDTF">2017-06-16T13:16:00Z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